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12" w:rsidRDefault="003066B0">
      <w:pPr>
        <w:pBdr>
          <w:top w:val="nil"/>
          <w:left w:val="nil"/>
          <w:bottom w:val="nil"/>
          <w:right w:val="nil"/>
          <w:between w:val="nil"/>
        </w:pBdr>
        <w:spacing w:after="0" w:line="240" w:lineRule="auto"/>
        <w:rPr>
          <w:b/>
          <w:color w:val="000000"/>
          <w:u w:val="single"/>
        </w:rPr>
      </w:pPr>
      <w:bookmarkStart w:id="0" w:name="_gjdgxs" w:colFirst="0" w:colLast="0"/>
      <w:bookmarkEnd w:id="0"/>
      <w:r>
        <w:rPr>
          <w:noProof/>
        </w:rPr>
        <w:drawing>
          <wp:anchor distT="0" distB="0" distL="114300" distR="114300" simplePos="0" relativeHeight="251658240" behindDoc="0" locked="0" layoutInCell="1" hidden="0" allowOverlap="1">
            <wp:simplePos x="0" y="0"/>
            <wp:positionH relativeFrom="column">
              <wp:posOffset>4321810</wp:posOffset>
            </wp:positionH>
            <wp:positionV relativeFrom="paragraph">
              <wp:posOffset>-343534</wp:posOffset>
            </wp:positionV>
            <wp:extent cx="1400810" cy="44767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1400810" cy="4476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-182244</wp:posOffset>
            </wp:positionV>
            <wp:extent cx="1190625" cy="376555"/>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190625" cy="376555"/>
                    </a:xfrm>
                    <a:prstGeom prst="rect">
                      <a:avLst/>
                    </a:prstGeom>
                    <a:ln/>
                  </pic:spPr>
                </pic:pic>
              </a:graphicData>
            </a:graphic>
          </wp:anchor>
        </w:drawing>
      </w:r>
    </w:p>
    <w:p w:rsidR="00EB4C12" w:rsidRDefault="00EB4C12">
      <w:pPr>
        <w:pBdr>
          <w:top w:val="nil"/>
          <w:left w:val="nil"/>
          <w:bottom w:val="nil"/>
          <w:right w:val="nil"/>
          <w:between w:val="nil"/>
        </w:pBdr>
        <w:spacing w:after="0" w:line="240" w:lineRule="auto"/>
        <w:rPr>
          <w:b/>
          <w:color w:val="000000"/>
          <w:u w:val="single"/>
        </w:rPr>
      </w:pPr>
    </w:p>
    <w:p w:rsidR="00EB4C12" w:rsidRDefault="00EB4C12">
      <w:pPr>
        <w:pBdr>
          <w:top w:val="nil"/>
          <w:left w:val="nil"/>
          <w:bottom w:val="nil"/>
          <w:right w:val="nil"/>
          <w:between w:val="nil"/>
        </w:pBdr>
        <w:spacing w:after="0" w:line="240" w:lineRule="auto"/>
        <w:rPr>
          <w:b/>
          <w:color w:val="000000"/>
          <w:u w:val="single"/>
        </w:rPr>
      </w:pPr>
    </w:p>
    <w:p w:rsidR="00EB4C12" w:rsidRDefault="003066B0">
      <w:pPr>
        <w:pBdr>
          <w:top w:val="nil"/>
          <w:left w:val="nil"/>
          <w:bottom w:val="nil"/>
          <w:right w:val="nil"/>
          <w:between w:val="nil"/>
        </w:pBdr>
        <w:spacing w:after="0" w:line="240" w:lineRule="auto"/>
        <w:rPr>
          <w:b/>
          <w:sz w:val="24"/>
          <w:szCs w:val="24"/>
          <w:u w:val="single"/>
        </w:rPr>
      </w:pPr>
      <w:r>
        <w:rPr>
          <w:b/>
          <w:color w:val="000000"/>
          <w:sz w:val="24"/>
          <w:szCs w:val="24"/>
          <w:u w:val="single"/>
        </w:rPr>
        <w:t>Wesleyan Large Grants – Top Tips for Groups</w:t>
      </w:r>
      <w:r>
        <w:rPr>
          <w:b/>
          <w:sz w:val="24"/>
          <w:szCs w:val="24"/>
          <w:u w:val="single"/>
        </w:rPr>
        <w:t xml:space="preserve"> </w:t>
      </w:r>
    </w:p>
    <w:p w:rsidR="00EB4C12" w:rsidRDefault="00EB4C12">
      <w:pPr>
        <w:pBdr>
          <w:top w:val="nil"/>
          <w:left w:val="nil"/>
          <w:bottom w:val="nil"/>
          <w:right w:val="nil"/>
          <w:between w:val="nil"/>
        </w:pBdr>
        <w:spacing w:after="0" w:line="240" w:lineRule="auto"/>
        <w:rPr>
          <w:b/>
          <w:sz w:val="24"/>
          <w:szCs w:val="24"/>
          <w:u w:val="single"/>
        </w:rPr>
      </w:pPr>
    </w:p>
    <w:p w:rsidR="00EB4C12" w:rsidRDefault="003066B0">
      <w:pPr>
        <w:pBdr>
          <w:top w:val="nil"/>
          <w:left w:val="nil"/>
          <w:bottom w:val="nil"/>
          <w:right w:val="nil"/>
          <w:between w:val="nil"/>
        </w:pBdr>
        <w:spacing w:after="0" w:line="240" w:lineRule="auto"/>
        <w:rPr>
          <w:color w:val="000000"/>
          <w:sz w:val="24"/>
          <w:szCs w:val="24"/>
        </w:rPr>
      </w:pPr>
      <w:r>
        <w:rPr>
          <w:color w:val="000000"/>
          <w:sz w:val="24"/>
          <w:szCs w:val="24"/>
        </w:rPr>
        <w:t xml:space="preserve">This document is to be used in conjunction with the </w:t>
      </w:r>
      <w:hyperlink r:id="rId7">
        <w:r>
          <w:rPr>
            <w:color w:val="0563C1"/>
            <w:sz w:val="24"/>
            <w:szCs w:val="24"/>
            <w:u w:val="single"/>
          </w:rPr>
          <w:t>Fund Factsheet</w:t>
        </w:r>
      </w:hyperlink>
      <w:r>
        <w:rPr>
          <w:color w:val="000000"/>
          <w:sz w:val="24"/>
          <w:szCs w:val="24"/>
        </w:rPr>
        <w:t>.</w:t>
      </w:r>
    </w:p>
    <w:p w:rsidR="00EB4C12" w:rsidRDefault="00EB4C12">
      <w:pPr>
        <w:pBdr>
          <w:top w:val="nil"/>
          <w:left w:val="nil"/>
          <w:bottom w:val="nil"/>
          <w:right w:val="nil"/>
          <w:between w:val="nil"/>
        </w:pBdr>
        <w:spacing w:after="0" w:line="240" w:lineRule="auto"/>
        <w:rPr>
          <w:color w:val="FFFFFF"/>
          <w:sz w:val="24"/>
          <w:szCs w:val="24"/>
        </w:rPr>
      </w:pPr>
    </w:p>
    <w:p w:rsidR="00EB4C12" w:rsidRDefault="003066B0">
      <w:pPr>
        <w:pBdr>
          <w:top w:val="nil"/>
          <w:left w:val="nil"/>
          <w:bottom w:val="nil"/>
          <w:right w:val="nil"/>
          <w:between w:val="nil"/>
        </w:pBdr>
        <w:shd w:val="clear" w:color="auto" w:fill="E6007E"/>
        <w:spacing w:after="0" w:line="240" w:lineRule="auto"/>
        <w:rPr>
          <w:b/>
          <w:color w:val="FFFFFF"/>
          <w:sz w:val="24"/>
          <w:szCs w:val="24"/>
        </w:rPr>
      </w:pPr>
      <w:r>
        <w:rPr>
          <w:b/>
          <w:color w:val="FFFFFF"/>
          <w:sz w:val="24"/>
          <w:szCs w:val="24"/>
        </w:rPr>
        <w:t>Financial Guidance</w:t>
      </w:r>
    </w:p>
    <w:p w:rsidR="00EB4C12" w:rsidRDefault="00EB4C12">
      <w:pPr>
        <w:pBdr>
          <w:top w:val="nil"/>
          <w:left w:val="nil"/>
          <w:bottom w:val="nil"/>
          <w:right w:val="nil"/>
          <w:between w:val="nil"/>
        </w:pBdr>
        <w:spacing w:after="0" w:line="240" w:lineRule="auto"/>
        <w:ind w:left="720"/>
        <w:rPr>
          <w:sz w:val="24"/>
          <w:szCs w:val="24"/>
        </w:rPr>
      </w:pPr>
    </w:p>
    <w:p w:rsidR="00EB4C12" w:rsidRDefault="003066B0">
      <w:pPr>
        <w:numPr>
          <w:ilvl w:val="0"/>
          <w:numId w:val="4"/>
        </w:numPr>
        <w:pBdr>
          <w:top w:val="nil"/>
          <w:left w:val="nil"/>
          <w:bottom w:val="nil"/>
          <w:right w:val="nil"/>
          <w:between w:val="nil"/>
        </w:pBdr>
        <w:spacing w:after="0" w:line="240" w:lineRule="auto"/>
        <w:rPr>
          <w:color w:val="000000"/>
          <w:sz w:val="24"/>
          <w:szCs w:val="24"/>
        </w:rPr>
      </w:pPr>
      <w:r>
        <w:rPr>
          <w:sz w:val="24"/>
          <w:szCs w:val="24"/>
        </w:rPr>
        <w:t>A</w:t>
      </w:r>
      <w:r>
        <w:rPr>
          <w:color w:val="000000"/>
          <w:sz w:val="24"/>
          <w:szCs w:val="24"/>
        </w:rPr>
        <w:t>ny projects must place a focus on sustainability, and detail plans in place to ensure the project will continue after the grant has been spent.</w:t>
      </w:r>
    </w:p>
    <w:p w:rsidR="00EB4C12" w:rsidRDefault="003066B0">
      <w:pPr>
        <w:numPr>
          <w:ilvl w:val="0"/>
          <w:numId w:val="4"/>
        </w:numPr>
        <w:pBdr>
          <w:top w:val="nil"/>
          <w:left w:val="nil"/>
          <w:bottom w:val="nil"/>
          <w:right w:val="nil"/>
          <w:between w:val="nil"/>
        </w:pBdr>
        <w:spacing w:after="0" w:line="240" w:lineRule="auto"/>
        <w:rPr>
          <w:sz w:val="24"/>
          <w:szCs w:val="24"/>
        </w:rPr>
      </w:pPr>
      <w:r>
        <w:rPr>
          <w:color w:val="000000"/>
          <w:sz w:val="24"/>
          <w:szCs w:val="24"/>
        </w:rPr>
        <w:t>Where match funding is required to deliver the full project costs, groups are required to detail where this match is coming from, whether it has been secured and to detail contingency plans should the funding not be secured.</w:t>
      </w:r>
    </w:p>
    <w:p w:rsidR="00EB4C12" w:rsidRDefault="003066B0">
      <w:pPr>
        <w:numPr>
          <w:ilvl w:val="0"/>
          <w:numId w:val="4"/>
        </w:numPr>
        <w:pBdr>
          <w:top w:val="nil"/>
          <w:left w:val="nil"/>
          <w:bottom w:val="nil"/>
          <w:right w:val="nil"/>
          <w:between w:val="nil"/>
        </w:pBdr>
        <w:spacing w:after="0" w:line="240" w:lineRule="auto"/>
        <w:rPr>
          <w:sz w:val="24"/>
          <w:szCs w:val="24"/>
        </w:rPr>
      </w:pPr>
      <w:r>
        <w:rPr>
          <w:color w:val="000000"/>
          <w:sz w:val="24"/>
          <w:szCs w:val="24"/>
        </w:rPr>
        <w:t>Budgets must be clear and precise, itemising the areas that the fund will be providing support. We expect to see accurate costings and be clear where any grant money will be spent.</w:t>
      </w:r>
    </w:p>
    <w:p w:rsidR="00EB4C12" w:rsidRDefault="003066B0">
      <w:pPr>
        <w:numPr>
          <w:ilvl w:val="0"/>
          <w:numId w:val="4"/>
        </w:numPr>
        <w:pBdr>
          <w:top w:val="nil"/>
          <w:left w:val="nil"/>
          <w:bottom w:val="nil"/>
          <w:right w:val="nil"/>
          <w:between w:val="nil"/>
        </w:pBdr>
        <w:spacing w:after="0" w:line="240" w:lineRule="auto"/>
        <w:rPr>
          <w:sz w:val="24"/>
          <w:szCs w:val="24"/>
        </w:rPr>
      </w:pPr>
      <w:r>
        <w:rPr>
          <w:color w:val="000000"/>
          <w:sz w:val="24"/>
          <w:szCs w:val="24"/>
        </w:rPr>
        <w:t>It is the preference of Wesleyan to be the majority funder and to support flagship projects. Grant applications that fulfil this will be prioritised.</w:t>
      </w:r>
    </w:p>
    <w:p w:rsidR="00EB4C12" w:rsidRDefault="00EB4C12">
      <w:pPr>
        <w:pBdr>
          <w:top w:val="nil"/>
          <w:left w:val="nil"/>
          <w:bottom w:val="nil"/>
          <w:right w:val="nil"/>
          <w:between w:val="nil"/>
        </w:pBdr>
        <w:spacing w:after="0" w:line="240" w:lineRule="auto"/>
        <w:rPr>
          <w:color w:val="000000"/>
          <w:sz w:val="24"/>
          <w:szCs w:val="24"/>
        </w:rPr>
      </w:pPr>
    </w:p>
    <w:p w:rsidR="00EB4C12" w:rsidRDefault="003066B0">
      <w:pPr>
        <w:pBdr>
          <w:top w:val="nil"/>
          <w:left w:val="nil"/>
          <w:bottom w:val="nil"/>
          <w:right w:val="nil"/>
          <w:between w:val="nil"/>
        </w:pBdr>
        <w:shd w:val="clear" w:color="auto" w:fill="E6007E"/>
        <w:spacing w:after="0" w:line="240" w:lineRule="auto"/>
        <w:rPr>
          <w:b/>
          <w:color w:val="FFFFFF"/>
          <w:sz w:val="24"/>
          <w:szCs w:val="24"/>
        </w:rPr>
      </w:pPr>
      <w:r>
        <w:rPr>
          <w:b/>
          <w:color w:val="FFFFFF"/>
          <w:sz w:val="24"/>
          <w:szCs w:val="24"/>
        </w:rPr>
        <w:t>Projects and Priorities</w:t>
      </w:r>
    </w:p>
    <w:p w:rsidR="00EB4C12" w:rsidRDefault="00EB4C12">
      <w:pPr>
        <w:pBdr>
          <w:top w:val="nil"/>
          <w:left w:val="nil"/>
          <w:bottom w:val="nil"/>
          <w:right w:val="nil"/>
          <w:between w:val="nil"/>
        </w:pBdr>
        <w:spacing w:after="0" w:line="240" w:lineRule="auto"/>
        <w:rPr>
          <w:sz w:val="24"/>
          <w:szCs w:val="24"/>
        </w:rPr>
      </w:pPr>
    </w:p>
    <w:p w:rsidR="00EB4C12" w:rsidRDefault="003066B0">
      <w:pPr>
        <w:pBdr>
          <w:top w:val="nil"/>
          <w:left w:val="nil"/>
          <w:bottom w:val="nil"/>
          <w:right w:val="nil"/>
          <w:between w:val="nil"/>
        </w:pBdr>
        <w:spacing w:after="0" w:line="240" w:lineRule="auto"/>
        <w:rPr>
          <w:color w:val="000000"/>
          <w:sz w:val="24"/>
          <w:szCs w:val="24"/>
        </w:rPr>
      </w:pPr>
      <w:r>
        <w:rPr>
          <w:color w:val="000000"/>
          <w:sz w:val="24"/>
          <w:szCs w:val="24"/>
        </w:rPr>
        <w:t>The Fund Factsheet refers to the Aims of the Wesleyan Large Fund and the three key priorities of the fund. Wesleyan look for projects that resonate with their values. This section will help you to understand types of projects Wesleyan has a focus on funding, as well as the outcomes they wish to achieve:</w:t>
      </w:r>
    </w:p>
    <w:p w:rsidR="00EB4C12" w:rsidRDefault="00EB4C12">
      <w:pPr>
        <w:pBdr>
          <w:top w:val="nil"/>
          <w:left w:val="nil"/>
          <w:bottom w:val="nil"/>
          <w:right w:val="nil"/>
          <w:between w:val="nil"/>
        </w:pBdr>
        <w:spacing w:after="0" w:line="240" w:lineRule="auto"/>
        <w:rPr>
          <w:sz w:val="24"/>
          <w:szCs w:val="24"/>
        </w:rPr>
      </w:pPr>
      <w:bookmarkStart w:id="1" w:name="_GoBack"/>
      <w:bookmarkEnd w:id="1"/>
    </w:p>
    <w:p w:rsidR="00EB4C12" w:rsidRDefault="003066B0">
      <w:pPr>
        <w:numPr>
          <w:ilvl w:val="0"/>
          <w:numId w:val="1"/>
        </w:numPr>
        <w:pBdr>
          <w:top w:val="nil"/>
          <w:left w:val="nil"/>
          <w:bottom w:val="nil"/>
          <w:right w:val="nil"/>
          <w:between w:val="nil"/>
        </w:pBdr>
        <w:spacing w:after="0" w:line="240" w:lineRule="auto"/>
        <w:rPr>
          <w:sz w:val="24"/>
          <w:szCs w:val="24"/>
        </w:rPr>
      </w:pPr>
      <w:r>
        <w:rPr>
          <w:color w:val="000000"/>
          <w:sz w:val="24"/>
          <w:szCs w:val="24"/>
        </w:rPr>
        <w:t>Education – projects that address positive social mobility, disadvantage and raising aspirations. Initiatives that develop individuals’ skills and employability are also of high importance.</w:t>
      </w:r>
    </w:p>
    <w:p w:rsidR="00EB4C12" w:rsidRDefault="003066B0">
      <w:pPr>
        <w:numPr>
          <w:ilvl w:val="0"/>
          <w:numId w:val="1"/>
        </w:numPr>
        <w:pBdr>
          <w:top w:val="nil"/>
          <w:left w:val="nil"/>
          <w:bottom w:val="nil"/>
          <w:right w:val="nil"/>
          <w:between w:val="nil"/>
        </w:pBdr>
        <w:spacing w:after="0" w:line="240" w:lineRule="auto"/>
        <w:rPr>
          <w:sz w:val="24"/>
          <w:szCs w:val="24"/>
        </w:rPr>
      </w:pPr>
      <w:r>
        <w:rPr>
          <w:color w:val="000000"/>
          <w:sz w:val="24"/>
          <w:szCs w:val="24"/>
        </w:rPr>
        <w:t>Health – projects that address mental and physical wellbeing and create opportunities for inclusion.</w:t>
      </w:r>
    </w:p>
    <w:p w:rsidR="00EB4C12" w:rsidRDefault="003066B0">
      <w:pPr>
        <w:numPr>
          <w:ilvl w:val="0"/>
          <w:numId w:val="1"/>
        </w:numPr>
        <w:pBdr>
          <w:top w:val="nil"/>
          <w:left w:val="nil"/>
          <w:bottom w:val="nil"/>
          <w:right w:val="nil"/>
          <w:between w:val="nil"/>
        </w:pBdr>
        <w:spacing w:after="0" w:line="240" w:lineRule="auto"/>
        <w:rPr>
          <w:sz w:val="24"/>
          <w:szCs w:val="24"/>
        </w:rPr>
      </w:pPr>
      <w:r>
        <w:rPr>
          <w:color w:val="000000"/>
          <w:sz w:val="24"/>
          <w:szCs w:val="24"/>
        </w:rPr>
        <w:t xml:space="preserve">Social </w:t>
      </w:r>
      <w:r w:rsidR="00A84D66">
        <w:rPr>
          <w:color w:val="000000"/>
          <w:sz w:val="24"/>
          <w:szCs w:val="24"/>
        </w:rPr>
        <w:t xml:space="preserve">– </w:t>
      </w:r>
      <w:r w:rsidR="00A84D66">
        <w:rPr>
          <w:sz w:val="24"/>
          <w:szCs w:val="24"/>
        </w:rPr>
        <w:t>Wesleyan</w:t>
      </w:r>
      <w:r>
        <w:rPr>
          <w:color w:val="000000"/>
          <w:sz w:val="24"/>
          <w:szCs w:val="24"/>
        </w:rPr>
        <w:t xml:space="preserve"> Foundation </w:t>
      </w:r>
      <w:r>
        <w:rPr>
          <w:sz w:val="24"/>
          <w:szCs w:val="24"/>
        </w:rPr>
        <w:t>aims</w:t>
      </w:r>
      <w:r>
        <w:rPr>
          <w:color w:val="000000"/>
          <w:sz w:val="24"/>
          <w:szCs w:val="24"/>
        </w:rPr>
        <w:t xml:space="preserve"> to </w:t>
      </w:r>
      <w:r w:rsidR="00A84D66">
        <w:rPr>
          <w:sz w:val="24"/>
          <w:szCs w:val="24"/>
        </w:rPr>
        <w:t xml:space="preserve">support </w:t>
      </w:r>
      <w:r w:rsidR="00A84D66">
        <w:rPr>
          <w:color w:val="000000"/>
          <w:sz w:val="24"/>
          <w:szCs w:val="24"/>
        </w:rPr>
        <w:t>projects</w:t>
      </w:r>
      <w:r>
        <w:rPr>
          <w:color w:val="000000"/>
          <w:sz w:val="24"/>
          <w:szCs w:val="24"/>
        </w:rPr>
        <w:t xml:space="preserve"> that develop conscious inclusion, so will prioritise projects that bring the community together. </w:t>
      </w:r>
    </w:p>
    <w:p w:rsidR="00EB4C12" w:rsidRDefault="003066B0">
      <w:pPr>
        <w:numPr>
          <w:ilvl w:val="0"/>
          <w:numId w:val="1"/>
        </w:numPr>
        <w:pBdr>
          <w:top w:val="nil"/>
          <w:left w:val="nil"/>
          <w:bottom w:val="nil"/>
          <w:right w:val="nil"/>
          <w:between w:val="nil"/>
        </w:pBdr>
        <w:spacing w:after="0" w:line="240" w:lineRule="auto"/>
        <w:rPr>
          <w:sz w:val="24"/>
          <w:szCs w:val="24"/>
        </w:rPr>
      </w:pPr>
      <w:r>
        <w:rPr>
          <w:color w:val="000000"/>
          <w:sz w:val="24"/>
          <w:szCs w:val="24"/>
        </w:rPr>
        <w:t xml:space="preserve">Other priorities – Projects that can demonstrate an ongoing sustainability, both from a financial and an environment perspective. In addition, projects which build in an element to help reduce an organisation’s carbon footprint. </w:t>
      </w:r>
    </w:p>
    <w:p w:rsidR="00EB4C12" w:rsidRDefault="00EB4C12">
      <w:pPr>
        <w:pBdr>
          <w:top w:val="nil"/>
          <w:left w:val="nil"/>
          <w:bottom w:val="nil"/>
          <w:right w:val="nil"/>
          <w:between w:val="nil"/>
        </w:pBdr>
        <w:spacing w:after="0" w:line="240" w:lineRule="auto"/>
        <w:rPr>
          <w:color w:val="000000"/>
          <w:sz w:val="24"/>
          <w:szCs w:val="24"/>
        </w:rPr>
      </w:pPr>
    </w:p>
    <w:p w:rsidR="00EB4C12" w:rsidRDefault="003066B0">
      <w:pPr>
        <w:pBdr>
          <w:top w:val="nil"/>
          <w:left w:val="nil"/>
          <w:bottom w:val="nil"/>
          <w:right w:val="nil"/>
          <w:between w:val="nil"/>
        </w:pBdr>
        <w:shd w:val="clear" w:color="auto" w:fill="E6007E"/>
        <w:spacing w:after="0" w:line="240" w:lineRule="auto"/>
        <w:rPr>
          <w:color w:val="000000"/>
          <w:sz w:val="24"/>
          <w:szCs w:val="24"/>
        </w:rPr>
      </w:pPr>
      <w:r>
        <w:rPr>
          <w:b/>
          <w:color w:val="FFFFFF"/>
          <w:sz w:val="24"/>
          <w:szCs w:val="24"/>
        </w:rPr>
        <w:t>General Hints and Tips</w:t>
      </w:r>
    </w:p>
    <w:p w:rsidR="00EB4C12" w:rsidRDefault="00EB4C12">
      <w:pPr>
        <w:pBdr>
          <w:top w:val="nil"/>
          <w:left w:val="nil"/>
          <w:bottom w:val="nil"/>
          <w:right w:val="nil"/>
          <w:between w:val="nil"/>
        </w:pBdr>
        <w:spacing w:after="0" w:line="240" w:lineRule="auto"/>
        <w:ind w:left="720"/>
        <w:rPr>
          <w:sz w:val="24"/>
          <w:szCs w:val="24"/>
        </w:rPr>
      </w:pPr>
    </w:p>
    <w:p w:rsidR="00EB4C12" w:rsidRDefault="003066B0">
      <w:pPr>
        <w:numPr>
          <w:ilvl w:val="0"/>
          <w:numId w:val="2"/>
        </w:numPr>
        <w:pBdr>
          <w:top w:val="nil"/>
          <w:left w:val="nil"/>
          <w:bottom w:val="nil"/>
          <w:right w:val="nil"/>
          <w:between w:val="nil"/>
        </w:pBdr>
        <w:spacing w:after="0" w:line="240" w:lineRule="auto"/>
        <w:rPr>
          <w:sz w:val="24"/>
          <w:szCs w:val="24"/>
        </w:rPr>
      </w:pPr>
      <w:r>
        <w:rPr>
          <w:sz w:val="24"/>
          <w:szCs w:val="24"/>
        </w:rPr>
        <w:t>T</w:t>
      </w:r>
      <w:r>
        <w:rPr>
          <w:color w:val="000000"/>
          <w:sz w:val="24"/>
          <w:szCs w:val="24"/>
        </w:rPr>
        <w:t xml:space="preserve">he Wesleyan Foundation </w:t>
      </w:r>
      <w:r>
        <w:rPr>
          <w:sz w:val="24"/>
          <w:szCs w:val="24"/>
        </w:rPr>
        <w:t>wants</w:t>
      </w:r>
      <w:r>
        <w:rPr>
          <w:color w:val="000000"/>
          <w:sz w:val="24"/>
          <w:szCs w:val="24"/>
        </w:rPr>
        <w:t xml:space="preserve"> to support projects where they can have the most impact. Ensure your application details the breadth of the positive changes your project will make. This also means that Wesleyan prefers to be the majority funder.</w:t>
      </w:r>
    </w:p>
    <w:p w:rsidR="00EB4C12" w:rsidRDefault="00EB4C12">
      <w:pPr>
        <w:pBdr>
          <w:top w:val="nil"/>
          <w:left w:val="nil"/>
          <w:bottom w:val="nil"/>
          <w:right w:val="nil"/>
          <w:between w:val="nil"/>
        </w:pBdr>
        <w:spacing w:after="0" w:line="240" w:lineRule="auto"/>
        <w:ind w:left="720"/>
        <w:rPr>
          <w:sz w:val="24"/>
          <w:szCs w:val="24"/>
        </w:rPr>
      </w:pPr>
    </w:p>
    <w:p w:rsidR="00EB4C12" w:rsidRDefault="003066B0">
      <w:pPr>
        <w:numPr>
          <w:ilvl w:val="0"/>
          <w:numId w:val="2"/>
        </w:numPr>
        <w:pBdr>
          <w:top w:val="nil"/>
          <w:left w:val="nil"/>
          <w:bottom w:val="nil"/>
          <w:right w:val="nil"/>
          <w:between w:val="nil"/>
        </w:pBdr>
        <w:spacing w:after="0" w:line="240" w:lineRule="auto"/>
        <w:rPr>
          <w:sz w:val="24"/>
          <w:szCs w:val="24"/>
        </w:rPr>
      </w:pPr>
      <w:r>
        <w:rPr>
          <w:color w:val="000000"/>
          <w:sz w:val="24"/>
          <w:szCs w:val="24"/>
        </w:rPr>
        <w:t xml:space="preserve">Faith-based organisations – </w:t>
      </w:r>
      <w:r>
        <w:rPr>
          <w:b/>
          <w:sz w:val="24"/>
          <w:szCs w:val="24"/>
        </w:rPr>
        <w:t>The Community Foundation for Northern Ireland</w:t>
      </w:r>
      <w:r>
        <w:rPr>
          <w:sz w:val="24"/>
          <w:szCs w:val="24"/>
        </w:rPr>
        <w:t xml:space="preserve"> manages the delivery of The Wesleyan Foundation Large and Small Grants in Northern Ireland.  They are unable to accept applications from Faith Based organisations or projects that promote religion.  For more information visit the Funding/Eligibility section on the  website </w:t>
      </w:r>
      <w:r>
        <w:rPr>
          <w:b/>
          <w:sz w:val="24"/>
          <w:szCs w:val="24"/>
        </w:rPr>
        <w:t>www.communityfoundationni.org</w:t>
      </w:r>
      <w:r>
        <w:rPr>
          <w:sz w:val="24"/>
          <w:szCs w:val="24"/>
        </w:rPr>
        <w:t xml:space="preserve"> </w:t>
      </w:r>
    </w:p>
    <w:p w:rsidR="00EB4C12" w:rsidRDefault="00EB4C12">
      <w:pPr>
        <w:pBdr>
          <w:top w:val="nil"/>
          <w:left w:val="nil"/>
          <w:bottom w:val="nil"/>
          <w:right w:val="nil"/>
          <w:between w:val="nil"/>
        </w:pBdr>
        <w:spacing w:after="0" w:line="240" w:lineRule="auto"/>
        <w:rPr>
          <w:sz w:val="24"/>
          <w:szCs w:val="24"/>
        </w:rPr>
      </w:pPr>
    </w:p>
    <w:p w:rsidR="00EB4C12" w:rsidRDefault="00EB4C12">
      <w:pPr>
        <w:pBdr>
          <w:top w:val="nil"/>
          <w:left w:val="nil"/>
          <w:bottom w:val="nil"/>
          <w:right w:val="nil"/>
          <w:between w:val="nil"/>
        </w:pBdr>
        <w:spacing w:after="0" w:line="240" w:lineRule="auto"/>
        <w:rPr>
          <w:sz w:val="24"/>
          <w:szCs w:val="24"/>
        </w:rPr>
      </w:pPr>
    </w:p>
    <w:p w:rsidR="00EB4C12" w:rsidRDefault="00EB4C12">
      <w:pPr>
        <w:pBdr>
          <w:top w:val="nil"/>
          <w:left w:val="nil"/>
          <w:bottom w:val="nil"/>
          <w:right w:val="nil"/>
          <w:between w:val="nil"/>
        </w:pBdr>
        <w:spacing w:after="0" w:line="240" w:lineRule="auto"/>
        <w:rPr>
          <w:sz w:val="24"/>
          <w:szCs w:val="24"/>
        </w:rPr>
      </w:pPr>
    </w:p>
    <w:p w:rsidR="00EB4C12" w:rsidRDefault="003066B0">
      <w:pPr>
        <w:numPr>
          <w:ilvl w:val="0"/>
          <w:numId w:val="2"/>
        </w:numPr>
        <w:pBdr>
          <w:top w:val="nil"/>
          <w:left w:val="nil"/>
          <w:bottom w:val="nil"/>
          <w:right w:val="nil"/>
          <w:between w:val="nil"/>
        </w:pBdr>
        <w:spacing w:after="0" w:line="240" w:lineRule="auto"/>
        <w:rPr>
          <w:sz w:val="24"/>
          <w:szCs w:val="24"/>
        </w:rPr>
      </w:pPr>
      <w:r>
        <w:rPr>
          <w:color w:val="000000"/>
          <w:sz w:val="24"/>
          <w:szCs w:val="24"/>
        </w:rPr>
        <w:t>Common reasons for rejection:</w:t>
      </w:r>
    </w:p>
    <w:p w:rsidR="00EB4C12" w:rsidRDefault="00EB4C12">
      <w:pPr>
        <w:pBdr>
          <w:top w:val="nil"/>
          <w:left w:val="nil"/>
          <w:bottom w:val="nil"/>
          <w:right w:val="nil"/>
          <w:between w:val="nil"/>
        </w:pBdr>
        <w:spacing w:after="0" w:line="240" w:lineRule="auto"/>
        <w:ind w:left="720"/>
        <w:rPr>
          <w:sz w:val="24"/>
          <w:szCs w:val="24"/>
        </w:rPr>
      </w:pPr>
    </w:p>
    <w:p w:rsidR="00EB4C12" w:rsidRDefault="003066B0">
      <w:pPr>
        <w:numPr>
          <w:ilvl w:val="1"/>
          <w:numId w:val="3"/>
        </w:numPr>
        <w:pBdr>
          <w:top w:val="nil"/>
          <w:left w:val="nil"/>
          <w:bottom w:val="nil"/>
          <w:right w:val="nil"/>
          <w:between w:val="nil"/>
        </w:pBdr>
        <w:spacing w:after="0" w:line="240" w:lineRule="auto"/>
        <w:rPr>
          <w:sz w:val="24"/>
          <w:szCs w:val="24"/>
        </w:rPr>
      </w:pPr>
      <w:r>
        <w:rPr>
          <w:color w:val="000000"/>
          <w:sz w:val="24"/>
          <w:szCs w:val="24"/>
        </w:rPr>
        <w:t xml:space="preserve">Application ineligibility – please read the guidance </w:t>
      </w:r>
      <w:r>
        <w:rPr>
          <w:sz w:val="24"/>
          <w:szCs w:val="24"/>
        </w:rPr>
        <w:t>fact sheet</w:t>
      </w:r>
      <w:r>
        <w:rPr>
          <w:color w:val="000000"/>
          <w:sz w:val="24"/>
          <w:szCs w:val="24"/>
        </w:rPr>
        <w:t xml:space="preserve"> carefully, as we often must turn down applications due to them not meeting the requirements of the fund. These reasons include applying for over 20% of the organisation’s income, insufficient policies, or length of time an organisation has been set up, unclear links to Wesleyan’s priorities.</w:t>
      </w:r>
    </w:p>
    <w:p w:rsidR="00EB4C12" w:rsidRDefault="003066B0">
      <w:pPr>
        <w:numPr>
          <w:ilvl w:val="1"/>
          <w:numId w:val="3"/>
        </w:numPr>
        <w:pBdr>
          <w:top w:val="nil"/>
          <w:left w:val="nil"/>
          <w:bottom w:val="nil"/>
          <w:right w:val="nil"/>
          <w:between w:val="nil"/>
        </w:pBdr>
        <w:spacing w:after="0" w:line="240" w:lineRule="auto"/>
        <w:rPr>
          <w:sz w:val="24"/>
          <w:szCs w:val="24"/>
        </w:rPr>
      </w:pPr>
      <w:r>
        <w:rPr>
          <w:color w:val="000000"/>
          <w:sz w:val="24"/>
          <w:szCs w:val="24"/>
        </w:rPr>
        <w:t>Low evidence of need</w:t>
      </w:r>
    </w:p>
    <w:p w:rsidR="00EB4C12" w:rsidRDefault="003066B0">
      <w:pPr>
        <w:numPr>
          <w:ilvl w:val="1"/>
          <w:numId w:val="3"/>
        </w:numPr>
        <w:pBdr>
          <w:top w:val="nil"/>
          <w:left w:val="nil"/>
          <w:bottom w:val="nil"/>
          <w:right w:val="nil"/>
          <w:between w:val="nil"/>
        </w:pBdr>
        <w:spacing w:after="0" w:line="240" w:lineRule="auto"/>
        <w:rPr>
          <w:sz w:val="24"/>
          <w:szCs w:val="24"/>
        </w:rPr>
      </w:pPr>
      <w:r>
        <w:rPr>
          <w:color w:val="000000"/>
          <w:sz w:val="24"/>
          <w:szCs w:val="24"/>
        </w:rPr>
        <w:t>Unclear outcomes or impact of the project</w:t>
      </w:r>
    </w:p>
    <w:p w:rsidR="00EB4C12" w:rsidRDefault="003066B0">
      <w:pPr>
        <w:numPr>
          <w:ilvl w:val="1"/>
          <w:numId w:val="3"/>
        </w:numPr>
        <w:pBdr>
          <w:top w:val="nil"/>
          <w:left w:val="nil"/>
          <w:bottom w:val="nil"/>
          <w:right w:val="nil"/>
          <w:between w:val="nil"/>
        </w:pBdr>
        <w:spacing w:after="0" w:line="240" w:lineRule="auto"/>
        <w:rPr>
          <w:sz w:val="24"/>
          <w:szCs w:val="24"/>
        </w:rPr>
      </w:pPr>
      <w:r>
        <w:rPr>
          <w:color w:val="000000"/>
          <w:sz w:val="24"/>
          <w:szCs w:val="24"/>
        </w:rPr>
        <w:t>Concerns around the long-term sustainability of the project.</w:t>
      </w:r>
    </w:p>
    <w:p w:rsidR="00EB4C12" w:rsidRDefault="00EB4C12">
      <w:pPr>
        <w:pBdr>
          <w:top w:val="nil"/>
          <w:left w:val="nil"/>
          <w:bottom w:val="nil"/>
          <w:right w:val="nil"/>
          <w:between w:val="nil"/>
        </w:pBdr>
        <w:spacing w:after="0" w:line="240" w:lineRule="auto"/>
        <w:ind w:left="720"/>
        <w:rPr>
          <w:color w:val="000000"/>
          <w:sz w:val="24"/>
          <w:szCs w:val="24"/>
        </w:rPr>
      </w:pPr>
    </w:p>
    <w:p w:rsidR="00EB4C12" w:rsidRDefault="003066B0">
      <w:pPr>
        <w:pBdr>
          <w:top w:val="nil"/>
          <w:left w:val="nil"/>
          <w:bottom w:val="nil"/>
          <w:right w:val="nil"/>
          <w:between w:val="nil"/>
        </w:pBdr>
        <w:spacing w:after="0" w:line="240" w:lineRule="auto"/>
        <w:jc w:val="center"/>
        <w:rPr>
          <w:b/>
          <w:color w:val="000000"/>
          <w:sz w:val="24"/>
          <w:szCs w:val="24"/>
        </w:rPr>
      </w:pPr>
      <w:r>
        <w:rPr>
          <w:b/>
          <w:color w:val="000000"/>
          <w:sz w:val="24"/>
          <w:szCs w:val="24"/>
        </w:rPr>
        <w:t>Please note that if funded by Wesleyan Large Grants, you will not be able to reapply for funding for 3 years after the award of the initial grant.</w:t>
      </w:r>
    </w:p>
    <w:sectPr w:rsidR="00EB4C12">
      <w:pgSz w:w="11906" w:h="16838"/>
      <w:pgMar w:top="1247" w:right="1440" w:bottom="851"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1C3664"/>
    <w:multiLevelType w:val="multilevel"/>
    <w:tmpl w:val="93AA6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CA424D"/>
    <w:multiLevelType w:val="multilevel"/>
    <w:tmpl w:val="8B56E72A"/>
    <w:lvl w:ilvl="0">
      <w:start w:val="1"/>
      <w:numFmt w:val="bullet"/>
      <w:lvlText w:val="●"/>
      <w:lvlJc w:val="left"/>
      <w:pPr>
        <w:ind w:left="720" w:hanging="360"/>
      </w:pPr>
      <w:rPr>
        <w:rFonts w:ascii="Noto Sans Symbols" w:eastAsia="Noto Sans Symbols" w:hAnsi="Noto Sans Symbols" w:cs="Noto Sans Symbols"/>
      </w:rPr>
    </w:lvl>
    <w:lvl w:ilvl="1">
      <w:start w:val="9"/>
      <w:numFmt w:val="bullet"/>
      <w:lvlText w:val="-"/>
      <w:lvlJc w:val="left"/>
      <w:pPr>
        <w:ind w:left="1440" w:hanging="360"/>
      </w:pPr>
      <w:rPr>
        <w:rFonts w:ascii="Lato" w:eastAsia="Lato" w:hAnsi="Lato" w:cs="Lato"/>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C4C1DCC"/>
    <w:multiLevelType w:val="multilevel"/>
    <w:tmpl w:val="834C8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71E09AC"/>
    <w:multiLevelType w:val="multilevel"/>
    <w:tmpl w:val="5A165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12"/>
    <w:rsid w:val="003066B0"/>
    <w:rsid w:val="00A84D66"/>
    <w:rsid w:val="00C94718"/>
    <w:rsid w:val="00EB4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751498-045D-4B83-ACAF-59422A641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rtofenglandcf.co.uk/wp-content/uploads/2019/04/Wes-Lar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CFNIADMIN</dc:creator>
  <cp:lastModifiedBy>CFNIADMIN</cp:lastModifiedBy>
  <cp:revision>2</cp:revision>
  <dcterms:created xsi:type="dcterms:W3CDTF">2020-03-06T15:26:00Z</dcterms:created>
  <dcterms:modified xsi:type="dcterms:W3CDTF">2020-03-06T15:26:00Z</dcterms:modified>
</cp:coreProperties>
</file>